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5228"/>
        <w:gridCol w:w="5228"/>
      </w:tblGrid>
      <w:tr w:rsidR="009A6021" w:rsidRPr="008F7623" w:rsidTr="008F7623">
        <w:trPr>
          <w:trHeight w:val="2134"/>
        </w:trPr>
        <w:tc>
          <w:tcPr>
            <w:tcW w:w="5228" w:type="dxa"/>
            <w:vAlign w:val="center"/>
          </w:tcPr>
          <w:p w:rsidR="009A6021" w:rsidRPr="008F7623" w:rsidRDefault="009A6021" w:rsidP="008F7623">
            <w:pPr>
              <w:spacing w:after="0" w:line="240" w:lineRule="auto"/>
              <w:rPr>
                <w:color w:val="BFBFBF"/>
                <w:sz w:val="44"/>
                <w:szCs w:val="44"/>
              </w:rPr>
            </w:pPr>
            <w:bookmarkStart w:id="0" w:name="_GoBack"/>
            <w:bookmarkEnd w:id="0"/>
            <w:r w:rsidRPr="008F7623">
              <w:rPr>
                <w:color w:val="BFBFBF"/>
                <w:sz w:val="44"/>
                <w:szCs w:val="44"/>
              </w:rPr>
              <w:t xml:space="preserve">Meeting room request </w:t>
            </w:r>
            <w:r w:rsidRPr="008F7623">
              <w:rPr>
                <w:color w:val="BFBFBF"/>
                <w:sz w:val="44"/>
                <w:szCs w:val="44"/>
              </w:rPr>
              <w:br/>
              <w:t>for professional court users</w:t>
            </w:r>
          </w:p>
        </w:tc>
        <w:tc>
          <w:tcPr>
            <w:tcW w:w="5228" w:type="dxa"/>
            <w:tcBorders>
              <w:bottom w:val="single" w:sz="4" w:space="0" w:color="auto"/>
            </w:tcBorders>
            <w:vAlign w:val="center"/>
          </w:tcPr>
          <w:p w:rsidR="009A6021" w:rsidRPr="008F7623" w:rsidRDefault="00B365A8" w:rsidP="008F7623">
            <w:pPr>
              <w:spacing w:after="0" w:line="240" w:lineRule="auto"/>
              <w:jc w:val="right"/>
            </w:pPr>
            <w:r>
              <w:rPr>
                <w:noProof/>
                <w:lang w:val="en-US"/>
              </w:rPr>
              <w:drawing>
                <wp:inline distT="0" distB="0" distL="0" distR="0">
                  <wp:extent cx="1066800" cy="1181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t="8391" b="9036"/>
                          <a:stretch>
                            <a:fillRect/>
                          </a:stretch>
                        </pic:blipFill>
                        <pic:spPr bwMode="auto">
                          <a:xfrm>
                            <a:off x="0" y="0"/>
                            <a:ext cx="1066800" cy="1181100"/>
                          </a:xfrm>
                          <a:prstGeom prst="rect">
                            <a:avLst/>
                          </a:prstGeom>
                          <a:noFill/>
                          <a:ln>
                            <a:noFill/>
                          </a:ln>
                        </pic:spPr>
                      </pic:pic>
                    </a:graphicData>
                  </a:graphic>
                </wp:inline>
              </w:drawing>
            </w:r>
            <w:r>
              <w:rPr>
                <w:noProof/>
                <w:lang w:val="en-US"/>
              </w:rPr>
              <w:drawing>
                <wp:inline distT="0" distB="0" distL="0" distR="0">
                  <wp:extent cx="1047750" cy="1095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5974" r="2986" b="4480"/>
                          <a:stretch>
                            <a:fillRect/>
                          </a:stretch>
                        </pic:blipFill>
                        <pic:spPr bwMode="auto">
                          <a:xfrm>
                            <a:off x="0" y="0"/>
                            <a:ext cx="1047750" cy="1095375"/>
                          </a:xfrm>
                          <a:prstGeom prst="rect">
                            <a:avLst/>
                          </a:prstGeom>
                          <a:noFill/>
                          <a:ln>
                            <a:noFill/>
                          </a:ln>
                        </pic:spPr>
                      </pic:pic>
                    </a:graphicData>
                  </a:graphic>
                </wp:inline>
              </w:drawing>
            </w:r>
          </w:p>
        </w:tc>
      </w:tr>
      <w:tr w:rsidR="009A6021" w:rsidRPr="008F7623" w:rsidTr="008F7623">
        <w:trPr>
          <w:trHeight w:val="56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b/>
                <w:sz w:val="24"/>
                <w:szCs w:val="24"/>
              </w:rPr>
            </w:pPr>
            <w:r w:rsidRPr="008F7623">
              <w:rPr>
                <w:rFonts w:ascii="Arial Narrow" w:hAnsi="Arial Narrow"/>
                <w:b/>
                <w:sz w:val="24"/>
                <w:szCs w:val="24"/>
              </w:rPr>
              <w:t>Case</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Start date</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First day of use</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Total days required</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B365A8" w:rsidP="008F7623">
            <w:pPr>
              <w:spacing w:after="0" w:line="240" w:lineRule="auto"/>
              <w:rPr>
                <w:rFonts w:ascii="Arial Narrow" w:hAnsi="Arial Narrow"/>
                <w:b/>
                <w:sz w:val="24"/>
                <w:szCs w:val="24"/>
              </w:rPr>
            </w:pPr>
            <w:r>
              <w:rPr>
                <w:rFonts w:ascii="Arial Narrow" w:hAnsi="Arial Narrow"/>
                <w:b/>
                <w:sz w:val="24"/>
                <w:szCs w:val="24"/>
              </w:rPr>
              <w:t>Cost per day £162</w:t>
            </w:r>
            <w:r w:rsidR="009A6021" w:rsidRPr="008F7623">
              <w:rPr>
                <w:rFonts w:ascii="Arial Narrow" w:hAnsi="Arial Narrow"/>
                <w:b/>
                <w:sz w:val="24"/>
                <w:szCs w:val="24"/>
              </w:rPr>
              <w:t xml:space="preserve"> including VAT</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c>
          <w:tcPr>
            <w:tcW w:w="5228" w:type="dxa"/>
          </w:tcPr>
          <w:p w:rsidR="009A6021" w:rsidRPr="008F7623" w:rsidRDefault="009A6021" w:rsidP="008F7623">
            <w:pPr>
              <w:spacing w:after="0" w:line="240" w:lineRule="auto"/>
            </w:pPr>
          </w:p>
        </w:tc>
        <w:tc>
          <w:tcPr>
            <w:tcW w:w="5228" w:type="dxa"/>
            <w:tcBorders>
              <w:top w:val="single" w:sz="4" w:space="0" w:color="auto"/>
            </w:tcBorders>
          </w:tcPr>
          <w:p w:rsidR="009A6021" w:rsidRPr="008F7623" w:rsidRDefault="009A6021" w:rsidP="008F7623">
            <w:pPr>
              <w:spacing w:after="0" w:line="240" w:lineRule="auto"/>
            </w:pPr>
          </w:p>
        </w:tc>
      </w:tr>
      <w:tr w:rsidR="009A6021" w:rsidRPr="008F7623" w:rsidTr="008F7623">
        <w:trPr>
          <w:trHeight w:val="397"/>
        </w:trPr>
        <w:tc>
          <w:tcPr>
            <w:tcW w:w="5228" w:type="dxa"/>
            <w:vAlign w:val="center"/>
          </w:tcPr>
          <w:p w:rsidR="009A6021" w:rsidRPr="008F7623" w:rsidRDefault="009A6021" w:rsidP="008F7623">
            <w:pPr>
              <w:spacing w:after="0" w:line="240" w:lineRule="auto"/>
              <w:rPr>
                <w:rFonts w:ascii="Arial Narrow" w:hAnsi="Arial Narrow"/>
                <w:b/>
                <w:sz w:val="24"/>
                <w:szCs w:val="24"/>
              </w:rPr>
            </w:pPr>
            <w:r w:rsidRPr="008F7623">
              <w:rPr>
                <w:rFonts w:ascii="Arial Narrow" w:hAnsi="Arial Narrow"/>
                <w:b/>
                <w:sz w:val="24"/>
                <w:szCs w:val="24"/>
              </w:rPr>
              <w:t>Your Details</w:t>
            </w:r>
          </w:p>
        </w:tc>
        <w:tc>
          <w:tcPr>
            <w:tcW w:w="5228" w:type="dxa"/>
            <w:tcBorders>
              <w:bottom w:val="single" w:sz="4" w:space="0" w:color="auto"/>
            </w:tcBorders>
            <w:vAlign w:val="center"/>
          </w:tcPr>
          <w:p w:rsidR="009A6021" w:rsidRPr="008F7623" w:rsidRDefault="009A6021" w:rsidP="008F7623">
            <w:pPr>
              <w:spacing w:after="0" w:line="240" w:lineRule="auto"/>
            </w:pP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Name</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Organisation</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E-mail</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rPr>
          <w:trHeight w:val="397"/>
        </w:trPr>
        <w:tc>
          <w:tcPr>
            <w:tcW w:w="5228" w:type="dxa"/>
            <w:tcBorders>
              <w:right w:val="single" w:sz="4" w:space="0" w:color="auto"/>
            </w:tcBorders>
            <w:vAlign w:val="center"/>
          </w:tcPr>
          <w:p w:rsidR="009A6021" w:rsidRPr="008F7623" w:rsidRDefault="009A6021" w:rsidP="008F7623">
            <w:pPr>
              <w:spacing w:after="0" w:line="240" w:lineRule="auto"/>
              <w:rPr>
                <w:rFonts w:ascii="Arial Narrow" w:hAnsi="Arial Narrow"/>
                <w:sz w:val="24"/>
                <w:szCs w:val="24"/>
              </w:rPr>
            </w:pPr>
            <w:r w:rsidRPr="008F7623">
              <w:rPr>
                <w:rFonts w:ascii="Arial Narrow" w:hAnsi="Arial Narrow"/>
                <w:sz w:val="24"/>
                <w:szCs w:val="24"/>
              </w:rPr>
              <w:t>Telephone</w:t>
            </w:r>
          </w:p>
        </w:tc>
        <w:tc>
          <w:tcPr>
            <w:tcW w:w="5228" w:type="dxa"/>
            <w:tcBorders>
              <w:top w:val="single" w:sz="4" w:space="0" w:color="auto"/>
              <w:left w:val="single" w:sz="4" w:space="0" w:color="auto"/>
              <w:bottom w:val="single" w:sz="4" w:space="0" w:color="auto"/>
              <w:right w:val="single" w:sz="4" w:space="0" w:color="auto"/>
            </w:tcBorders>
            <w:shd w:val="clear" w:color="auto" w:fill="D9D9D9"/>
            <w:vAlign w:val="center"/>
          </w:tcPr>
          <w:p w:rsidR="009A6021" w:rsidRPr="008F7623" w:rsidRDefault="009A6021" w:rsidP="008F7623">
            <w:pPr>
              <w:spacing w:after="0" w:line="240" w:lineRule="auto"/>
            </w:pPr>
            <w:r w:rsidRPr="008F7623">
              <w:rPr>
                <w:rFonts w:ascii="Arial Narrow" w:hAnsi="Arial Narrow"/>
              </w:rPr>
              <w:fldChar w:fldCharType="begin">
                <w:ffData>
                  <w:name w:val="Text1"/>
                  <w:enabled/>
                  <w:calcOnExit w:val="0"/>
                  <w:textInput/>
                </w:ffData>
              </w:fldChar>
            </w:r>
            <w:r w:rsidRPr="008F7623">
              <w:rPr>
                <w:rFonts w:ascii="Arial Narrow" w:hAnsi="Arial Narrow"/>
              </w:rPr>
              <w:instrText xml:space="preserve"> FORMTEXT </w:instrText>
            </w:r>
            <w:r w:rsidRPr="008F7623">
              <w:rPr>
                <w:rFonts w:ascii="Arial Narrow" w:hAnsi="Arial Narrow"/>
              </w:rPr>
            </w:r>
            <w:r w:rsidRPr="008F7623">
              <w:rPr>
                <w:rFonts w:ascii="Arial Narrow" w:hAnsi="Arial Narrow"/>
              </w:rPr>
              <w:fldChar w:fldCharType="separate"/>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noProof/>
              </w:rPr>
              <w:t> </w:t>
            </w:r>
            <w:r w:rsidRPr="008F7623">
              <w:rPr>
                <w:rFonts w:ascii="Arial Narrow" w:hAnsi="Arial Narrow"/>
              </w:rPr>
              <w:fldChar w:fldCharType="end"/>
            </w:r>
          </w:p>
        </w:tc>
      </w:tr>
      <w:tr w:rsidR="009A6021" w:rsidRPr="008F7623" w:rsidTr="008F7623">
        <w:tc>
          <w:tcPr>
            <w:tcW w:w="5228" w:type="dxa"/>
          </w:tcPr>
          <w:p w:rsidR="009A6021" w:rsidRPr="008F7623" w:rsidRDefault="009A6021" w:rsidP="008F7623">
            <w:pPr>
              <w:spacing w:after="0" w:line="240" w:lineRule="auto"/>
            </w:pPr>
          </w:p>
        </w:tc>
        <w:tc>
          <w:tcPr>
            <w:tcW w:w="5228" w:type="dxa"/>
            <w:tcBorders>
              <w:top w:val="single" w:sz="4" w:space="0" w:color="auto"/>
            </w:tcBorders>
          </w:tcPr>
          <w:p w:rsidR="009A6021" w:rsidRPr="008F7623" w:rsidRDefault="009A6021" w:rsidP="008F7623">
            <w:pPr>
              <w:spacing w:after="0" w:line="240" w:lineRule="auto"/>
            </w:pPr>
          </w:p>
        </w:tc>
      </w:tr>
      <w:tr w:rsidR="009A6021" w:rsidRPr="008F7623" w:rsidTr="008F7623">
        <w:tc>
          <w:tcPr>
            <w:tcW w:w="10456" w:type="dxa"/>
            <w:gridSpan w:val="2"/>
          </w:tcPr>
          <w:p w:rsidR="009A6021" w:rsidRPr="008F7623" w:rsidRDefault="009A6021" w:rsidP="008F7623">
            <w:pPr>
              <w:tabs>
                <w:tab w:val="left" w:pos="2760"/>
              </w:tabs>
              <w:spacing w:after="0" w:line="240" w:lineRule="auto"/>
            </w:pPr>
            <w:r w:rsidRPr="008F7623">
              <w:tab/>
            </w:r>
          </w:p>
          <w:p w:rsidR="009A6021" w:rsidRPr="00753818" w:rsidRDefault="009A6021" w:rsidP="008F7623">
            <w:pPr>
              <w:spacing w:after="0" w:line="240" w:lineRule="auto"/>
              <w:rPr>
                <w:rFonts w:ascii="Arial Narrow" w:hAnsi="Arial Narrow"/>
              </w:rPr>
            </w:pPr>
            <w:r w:rsidRPr="008F7623">
              <w:rPr>
                <w:rFonts w:ascii="Arial Narrow" w:hAnsi="Arial Narrow"/>
                <w:color w:val="7F7F7F"/>
                <w:sz w:val="32"/>
                <w:szCs w:val="32"/>
              </w:rPr>
              <w:t xml:space="preserve">Bookings </w:t>
            </w:r>
            <w:r w:rsidRPr="008F7623">
              <w:rPr>
                <w:rFonts w:ascii="Arial Narrow" w:hAnsi="Arial Narrow"/>
                <w:color w:val="7F7F7F"/>
                <w:sz w:val="32"/>
                <w:szCs w:val="32"/>
              </w:rPr>
              <w:br/>
            </w:r>
            <w:r w:rsidRPr="008F7623">
              <w:rPr>
                <w:rFonts w:ascii="Arial Narrow" w:hAnsi="Arial Narrow"/>
              </w:rPr>
              <w:t>May be made a maximum of three weeks prior to the case commencement.</w:t>
            </w:r>
            <w:r w:rsidRPr="008F7623">
              <w:rPr>
                <w:rFonts w:ascii="Arial Narrow" w:hAnsi="Arial Narrow"/>
              </w:rPr>
              <w:br/>
              <w:t xml:space="preserve">Are not </w:t>
            </w:r>
            <w:r w:rsidRPr="00753818">
              <w:rPr>
                <w:rFonts w:ascii="Arial Narrow" w:hAnsi="Arial Narrow"/>
              </w:rPr>
              <w:t>confirmed until we have contacted you by telephone and successfully taken payment by credit card.</w:t>
            </w:r>
            <w:r w:rsidRPr="00753818">
              <w:rPr>
                <w:rFonts w:ascii="Arial Narrow" w:hAnsi="Arial Narrow"/>
              </w:rPr>
              <w:br/>
              <w:t>May only be made by completing and emailing this form to catering@supremecourt.uk</w:t>
            </w:r>
            <w:r w:rsidRPr="00753818">
              <w:rPr>
                <w:rFonts w:ascii="Arial Narrow" w:hAnsi="Arial Narrow"/>
              </w:rPr>
              <w:br/>
              <w:t>Will be allocated a room based on availability and this is subject to change.</w:t>
            </w:r>
            <w:r w:rsidRPr="00753818">
              <w:rPr>
                <w:rFonts w:ascii="Arial Narrow" w:hAnsi="Arial Narrow"/>
              </w:rPr>
              <w:br/>
              <w:t>Rooms are available between 0830 and 1630 on days the Court is sitting and is subject to the Court</w:t>
            </w:r>
            <w:r>
              <w:rPr>
                <w:rFonts w:ascii="Arial Narrow" w:hAnsi="Arial Narrow"/>
              </w:rPr>
              <w:t>’</w:t>
            </w:r>
            <w:r w:rsidRPr="00753818">
              <w:rPr>
                <w:rFonts w:ascii="Arial Narrow" w:hAnsi="Arial Narrow"/>
              </w:rPr>
              <w:t>s normal access procedures.</w:t>
            </w:r>
          </w:p>
          <w:p w:rsidR="009A6021" w:rsidRPr="008F7623" w:rsidRDefault="009A6021" w:rsidP="008F7623">
            <w:pPr>
              <w:spacing w:after="0" w:line="240" w:lineRule="auto"/>
              <w:rPr>
                <w:rFonts w:ascii="Arial Narrow" w:hAnsi="Arial Narrow"/>
                <w:color w:val="7F7F7F"/>
                <w:sz w:val="32"/>
                <w:szCs w:val="32"/>
              </w:rPr>
            </w:pPr>
            <w:r>
              <w:rPr>
                <w:rFonts w:ascii="Arial Narrow" w:hAnsi="Arial Narrow"/>
              </w:rPr>
              <w:t>Rooms</w:t>
            </w:r>
            <w:r w:rsidRPr="00753818">
              <w:rPr>
                <w:rFonts w:ascii="Arial Narrow" w:hAnsi="Arial Narrow"/>
              </w:rPr>
              <w:t xml:space="preserve"> </w:t>
            </w:r>
            <w:r>
              <w:rPr>
                <w:rFonts w:ascii="Arial Narrow" w:hAnsi="Arial Narrow"/>
              </w:rPr>
              <w:t>not required (i.e.</w:t>
            </w:r>
            <w:r w:rsidRPr="00753818">
              <w:rPr>
                <w:rFonts w:ascii="Arial Narrow" w:hAnsi="Arial Narrow"/>
              </w:rPr>
              <w:t xml:space="preserve"> when cases finish </w:t>
            </w:r>
            <w:r>
              <w:rPr>
                <w:rFonts w:ascii="Arial Narrow" w:hAnsi="Arial Narrow"/>
              </w:rPr>
              <w:t>at least one full day earlier than listed)</w:t>
            </w:r>
            <w:r w:rsidRPr="00753818">
              <w:rPr>
                <w:rFonts w:ascii="Arial Narrow" w:hAnsi="Arial Narrow"/>
              </w:rPr>
              <w:t xml:space="preserve"> can be refunded upon application to the catering provider up to 6 weeks after the date for which they were booked. Refunds will be made to the credit card that was used to make the initial booking.</w:t>
            </w:r>
            <w:r w:rsidRPr="00753818">
              <w:rPr>
                <w:rFonts w:ascii="Arial Narrow" w:hAnsi="Arial Narrow"/>
              </w:rPr>
              <w:br/>
              <w:t xml:space="preserve">Are managed on behalf of the Court by </w:t>
            </w:r>
            <w:proofErr w:type="spellStart"/>
            <w:r w:rsidRPr="00753818">
              <w:rPr>
                <w:rFonts w:ascii="Arial Narrow" w:hAnsi="Arial Narrow"/>
              </w:rPr>
              <w:t>Zafferano</w:t>
            </w:r>
            <w:proofErr w:type="spellEnd"/>
            <w:r w:rsidRPr="00753818">
              <w:rPr>
                <w:rFonts w:ascii="Arial Narrow" w:hAnsi="Arial Narrow"/>
              </w:rPr>
              <w:t xml:space="preserve"> Concessions</w:t>
            </w:r>
            <w:r>
              <w:rPr>
                <w:rFonts w:ascii="Arial Narrow" w:hAnsi="Arial Narrow"/>
              </w:rPr>
              <w:t>,</w:t>
            </w:r>
            <w:r w:rsidRPr="00753818">
              <w:rPr>
                <w:rFonts w:ascii="Arial Narrow" w:hAnsi="Arial Narrow"/>
              </w:rPr>
              <w:t xml:space="preserve"> their catering provider. </w:t>
            </w:r>
            <w:r w:rsidRPr="00753818">
              <w:rPr>
                <w:rFonts w:ascii="Arial Narrow" w:hAnsi="Arial Narrow"/>
              </w:rPr>
              <w:br/>
              <w:t>Telephone 020 79601979</w:t>
            </w:r>
            <w:r w:rsidRPr="008F7623">
              <w:rPr>
                <w:rFonts w:ascii="Arial Narrow" w:hAnsi="Arial Narrow"/>
              </w:rPr>
              <w:t>.</w:t>
            </w:r>
          </w:p>
          <w:p w:rsidR="009A6021" w:rsidRPr="008F7623" w:rsidRDefault="009A6021" w:rsidP="008F7623">
            <w:pPr>
              <w:tabs>
                <w:tab w:val="left" w:pos="2760"/>
              </w:tabs>
              <w:spacing w:after="0" w:line="240" w:lineRule="auto"/>
            </w:pPr>
          </w:p>
        </w:tc>
      </w:tr>
      <w:tr w:rsidR="009A6021" w:rsidRPr="008F7623" w:rsidTr="008F7623">
        <w:tc>
          <w:tcPr>
            <w:tcW w:w="10456" w:type="dxa"/>
            <w:gridSpan w:val="2"/>
          </w:tcPr>
          <w:p w:rsidR="009A6021" w:rsidRPr="008F7623" w:rsidRDefault="009A6021" w:rsidP="008F7623">
            <w:pPr>
              <w:spacing w:after="0" w:line="240" w:lineRule="auto"/>
              <w:rPr>
                <w:rFonts w:ascii="Arial Narrow" w:hAnsi="Arial Narrow"/>
                <w:color w:val="7F7F7F"/>
                <w:sz w:val="32"/>
                <w:szCs w:val="32"/>
              </w:rPr>
            </w:pPr>
          </w:p>
          <w:p w:rsidR="009A6021" w:rsidRPr="008F7623" w:rsidRDefault="009A6021" w:rsidP="008F7623">
            <w:pPr>
              <w:spacing w:after="0" w:line="240" w:lineRule="auto"/>
              <w:rPr>
                <w:rFonts w:ascii="Arial Narrow" w:hAnsi="Arial Narrow"/>
                <w:color w:val="7F7F7F"/>
                <w:sz w:val="32"/>
                <w:szCs w:val="32"/>
              </w:rPr>
            </w:pPr>
            <w:r w:rsidRPr="008F7623">
              <w:rPr>
                <w:rFonts w:ascii="Arial Narrow" w:hAnsi="Arial Narrow"/>
                <w:color w:val="7F7F7F"/>
                <w:sz w:val="32"/>
                <w:szCs w:val="32"/>
              </w:rPr>
              <w:t>Catering services</w:t>
            </w:r>
            <w:r w:rsidRPr="008F7623">
              <w:rPr>
                <w:rFonts w:ascii="Arial Narrow" w:hAnsi="Arial Narrow"/>
                <w:color w:val="7F7F7F"/>
                <w:sz w:val="32"/>
                <w:szCs w:val="32"/>
              </w:rPr>
              <w:br/>
            </w:r>
            <w:r w:rsidRPr="008F7623">
              <w:rPr>
                <w:rFonts w:ascii="Arial Narrow" w:hAnsi="Arial Narrow"/>
                <w:color w:val="000000"/>
              </w:rPr>
              <w:t>A range of catering is available to your meeting room this must be ordered in advance usi</w:t>
            </w:r>
            <w:r>
              <w:rPr>
                <w:rFonts w:ascii="Arial Narrow" w:hAnsi="Arial Narrow"/>
                <w:color w:val="000000"/>
              </w:rPr>
              <w:t xml:space="preserve">ng the </w:t>
            </w:r>
            <w:r w:rsidRPr="008F7623">
              <w:rPr>
                <w:rFonts w:ascii="Arial Narrow" w:hAnsi="Arial Narrow"/>
                <w:color w:val="000000"/>
              </w:rPr>
              <w:t>catering order form available from the Court</w:t>
            </w:r>
            <w:r>
              <w:rPr>
                <w:rFonts w:ascii="Arial Narrow" w:hAnsi="Arial Narrow"/>
                <w:color w:val="000000"/>
              </w:rPr>
              <w:t>’</w:t>
            </w:r>
            <w:r w:rsidRPr="008F7623">
              <w:rPr>
                <w:rFonts w:ascii="Arial Narrow" w:hAnsi="Arial Narrow"/>
                <w:color w:val="000000"/>
              </w:rPr>
              <w:t>s web site.</w:t>
            </w:r>
            <w:r w:rsidRPr="008F7623">
              <w:rPr>
                <w:rFonts w:ascii="Arial Narrow" w:hAnsi="Arial Narrow"/>
                <w:color w:val="000000"/>
              </w:rPr>
              <w:br/>
              <w:t>Once ordered catering can only be cancelled with two complete working days’ notice.</w:t>
            </w:r>
            <w:r w:rsidRPr="008F7623">
              <w:rPr>
                <w:rFonts w:ascii="Arial Narrow" w:hAnsi="Arial Narrow"/>
                <w:color w:val="000000"/>
              </w:rPr>
              <w:br/>
              <w:t>There is a full café service available during the opening hours of the Court.</w:t>
            </w:r>
            <w:r w:rsidRPr="008F7623">
              <w:rPr>
                <w:rFonts w:ascii="Arial Narrow" w:hAnsi="Arial Narrow"/>
                <w:color w:val="000000"/>
              </w:rPr>
              <w:br/>
            </w:r>
            <w:r w:rsidRPr="009E6DC8">
              <w:rPr>
                <w:rStyle w:val="Strong"/>
                <w:rFonts w:ascii="Arial Narrow" w:hAnsi="Arial Narrow"/>
                <w:b w:val="0"/>
              </w:rPr>
              <w:t>Please note that food and drink from external suppliers is not permitted within the court building</w:t>
            </w:r>
            <w:r w:rsidRPr="009E6DC8">
              <w:rPr>
                <w:rFonts w:ascii="Arial Narrow" w:hAnsi="Arial Narrow"/>
                <w:b/>
                <w:color w:val="000000"/>
              </w:rPr>
              <w:t>.</w:t>
            </w:r>
          </w:p>
        </w:tc>
      </w:tr>
      <w:tr w:rsidR="009A6021" w:rsidRPr="008F7623" w:rsidTr="008F7623">
        <w:tc>
          <w:tcPr>
            <w:tcW w:w="10456" w:type="dxa"/>
            <w:gridSpan w:val="2"/>
          </w:tcPr>
          <w:p w:rsidR="009A6021" w:rsidRPr="008F7623" w:rsidRDefault="009A6021" w:rsidP="008F7623">
            <w:pPr>
              <w:spacing w:after="0" w:line="240" w:lineRule="auto"/>
              <w:rPr>
                <w:rFonts w:ascii="Arial Narrow" w:hAnsi="Arial Narrow"/>
                <w:color w:val="7F7F7F"/>
                <w:sz w:val="32"/>
                <w:szCs w:val="32"/>
              </w:rPr>
            </w:pPr>
          </w:p>
          <w:p w:rsidR="009A6021" w:rsidRPr="008F7623" w:rsidRDefault="009A6021" w:rsidP="008F7623">
            <w:pPr>
              <w:spacing w:after="0" w:line="240" w:lineRule="auto"/>
              <w:rPr>
                <w:rFonts w:ascii="Arial Narrow" w:hAnsi="Arial Narrow"/>
                <w:color w:val="000000"/>
              </w:rPr>
            </w:pPr>
            <w:r w:rsidRPr="008F7623">
              <w:rPr>
                <w:rFonts w:ascii="Arial Narrow" w:hAnsi="Arial Narrow"/>
                <w:color w:val="7F7F7F"/>
                <w:sz w:val="32"/>
                <w:szCs w:val="32"/>
              </w:rPr>
              <w:t>Security</w:t>
            </w:r>
            <w:r w:rsidRPr="008F7623">
              <w:rPr>
                <w:rFonts w:ascii="Arial Narrow" w:hAnsi="Arial Narrow"/>
                <w:color w:val="7F7F7F"/>
                <w:sz w:val="32"/>
                <w:szCs w:val="32"/>
              </w:rPr>
              <w:br/>
            </w:r>
            <w:r w:rsidRPr="008F7623">
              <w:rPr>
                <w:rFonts w:ascii="Arial Narrow" w:hAnsi="Arial Narrow"/>
                <w:color w:val="000000"/>
              </w:rPr>
              <w:t>The meeting rooms are in the public area of the Court and the Court accepts no liability for the security or confidentiality of any items left in the meeting room. You are advised t</w:t>
            </w:r>
            <w:r>
              <w:rPr>
                <w:rFonts w:ascii="Arial Narrow" w:hAnsi="Arial Narrow"/>
                <w:color w:val="000000"/>
              </w:rPr>
              <w:t xml:space="preserve">o take care of all valuable or </w:t>
            </w:r>
            <w:r w:rsidRPr="008F7623">
              <w:rPr>
                <w:rFonts w:ascii="Arial Narrow" w:hAnsi="Arial Narrow"/>
                <w:color w:val="000000"/>
              </w:rPr>
              <w:t xml:space="preserve">confidential items </w:t>
            </w:r>
            <w:proofErr w:type="gramStart"/>
            <w:r w:rsidRPr="008F7623">
              <w:rPr>
                <w:rFonts w:ascii="Arial Narrow" w:hAnsi="Arial Narrow"/>
                <w:color w:val="000000"/>
              </w:rPr>
              <w:t>at all times</w:t>
            </w:r>
            <w:proofErr w:type="gramEnd"/>
            <w:r w:rsidRPr="008F7623">
              <w:rPr>
                <w:rFonts w:ascii="Arial Narrow" w:hAnsi="Arial Narrow"/>
                <w:color w:val="000000"/>
              </w:rPr>
              <w:t>. Nothing may be left in the meeting room overnight.</w:t>
            </w:r>
            <w:r w:rsidRPr="008F7623">
              <w:rPr>
                <w:rFonts w:ascii="Arial Narrow" w:hAnsi="Arial Narrow"/>
                <w:color w:val="000000"/>
              </w:rPr>
              <w:br/>
              <w:t>When you arrive please ask at the main entrance reception desk for your room to be unlocked.</w:t>
            </w:r>
          </w:p>
          <w:p w:rsidR="009A6021" w:rsidRPr="008F7623" w:rsidRDefault="009A6021" w:rsidP="008F7623">
            <w:pPr>
              <w:spacing w:after="0" w:line="240" w:lineRule="auto"/>
              <w:rPr>
                <w:rFonts w:ascii="Arial Narrow" w:hAnsi="Arial Narrow"/>
                <w:color w:val="7F7F7F"/>
                <w:sz w:val="32"/>
                <w:szCs w:val="32"/>
              </w:rPr>
            </w:pPr>
          </w:p>
        </w:tc>
      </w:tr>
      <w:tr w:rsidR="009A6021" w:rsidRPr="008F7623" w:rsidTr="008F7623">
        <w:tc>
          <w:tcPr>
            <w:tcW w:w="10456" w:type="dxa"/>
            <w:gridSpan w:val="2"/>
          </w:tcPr>
          <w:p w:rsidR="009A6021" w:rsidRPr="008F7623" w:rsidRDefault="009A6021" w:rsidP="008F7623">
            <w:pPr>
              <w:spacing w:after="0" w:line="240" w:lineRule="auto"/>
              <w:rPr>
                <w:rFonts w:ascii="Arial Narrow" w:hAnsi="Arial Narrow"/>
                <w:color w:val="FF0000"/>
                <w:sz w:val="32"/>
                <w:szCs w:val="32"/>
              </w:rPr>
            </w:pPr>
            <w:r w:rsidRPr="008F7623">
              <w:rPr>
                <w:rFonts w:ascii="Arial Narrow" w:hAnsi="Arial Narrow"/>
                <w:color w:val="FF0000"/>
                <w:sz w:val="32"/>
                <w:szCs w:val="32"/>
              </w:rPr>
              <w:t>Email to catering@supremecourt.uk</w:t>
            </w:r>
          </w:p>
        </w:tc>
      </w:tr>
    </w:tbl>
    <w:p w:rsidR="009A6021" w:rsidRDefault="009A6021"/>
    <w:sectPr w:rsidR="009A6021" w:rsidSect="00A57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24"/>
    <w:rsid w:val="001F0EE4"/>
    <w:rsid w:val="0023242E"/>
    <w:rsid w:val="002B03AF"/>
    <w:rsid w:val="005140CB"/>
    <w:rsid w:val="0057198E"/>
    <w:rsid w:val="00580BC4"/>
    <w:rsid w:val="006117A9"/>
    <w:rsid w:val="00741672"/>
    <w:rsid w:val="00743FF4"/>
    <w:rsid w:val="007456CA"/>
    <w:rsid w:val="00753818"/>
    <w:rsid w:val="008019E2"/>
    <w:rsid w:val="0081637E"/>
    <w:rsid w:val="00841301"/>
    <w:rsid w:val="00865A2E"/>
    <w:rsid w:val="00871C3F"/>
    <w:rsid w:val="008833C6"/>
    <w:rsid w:val="008F7623"/>
    <w:rsid w:val="009A6021"/>
    <w:rsid w:val="009E6DC8"/>
    <w:rsid w:val="00A57424"/>
    <w:rsid w:val="00AA387A"/>
    <w:rsid w:val="00AC19FE"/>
    <w:rsid w:val="00AE0F7F"/>
    <w:rsid w:val="00B365A8"/>
    <w:rsid w:val="00BC4966"/>
    <w:rsid w:val="00C4045C"/>
    <w:rsid w:val="00C460D8"/>
    <w:rsid w:val="00C55AC9"/>
    <w:rsid w:val="00CB5618"/>
    <w:rsid w:val="00D67992"/>
    <w:rsid w:val="00DC14E2"/>
    <w:rsid w:val="00DE5C54"/>
    <w:rsid w:val="00E03B8F"/>
    <w:rsid w:val="00E14BD7"/>
    <w:rsid w:val="00E2156E"/>
    <w:rsid w:val="00F40A4C"/>
    <w:rsid w:val="00F83A1F"/>
    <w:rsid w:val="00F914D2"/>
    <w:rsid w:val="00FA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20D5EF-B466-49C2-880A-1E75B61B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56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7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7424"/>
    <w:rPr>
      <w:rFonts w:cs="Times New Roman"/>
      <w:color w:val="808080"/>
    </w:rPr>
  </w:style>
  <w:style w:type="paragraph" w:styleId="BalloonText">
    <w:name w:val="Balloon Text"/>
    <w:basedOn w:val="Normal"/>
    <w:link w:val="BalloonTextChar"/>
    <w:uiPriority w:val="99"/>
    <w:semiHidden/>
    <w:rsid w:val="00514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40CB"/>
    <w:rPr>
      <w:rFonts w:ascii="Segoe UI" w:hAnsi="Segoe UI" w:cs="Segoe UI"/>
      <w:sz w:val="18"/>
      <w:szCs w:val="18"/>
    </w:rPr>
  </w:style>
  <w:style w:type="character" w:styleId="Strong">
    <w:name w:val="Strong"/>
    <w:basedOn w:val="DefaultParagraphFont"/>
    <w:uiPriority w:val="99"/>
    <w:qFormat/>
    <w:locked/>
    <w:rsid w:val="009E6DC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55445">
      <w:marLeft w:val="0"/>
      <w:marRight w:val="0"/>
      <w:marTop w:val="0"/>
      <w:marBottom w:val="0"/>
      <w:divBdr>
        <w:top w:val="none" w:sz="0" w:space="0" w:color="auto"/>
        <w:left w:val="none" w:sz="0" w:space="0" w:color="auto"/>
        <w:bottom w:val="none" w:sz="0" w:space="0" w:color="auto"/>
        <w:right w:val="none" w:sz="0" w:space="0" w:color="auto"/>
      </w:divBdr>
    </w:div>
    <w:div w:id="1503155446">
      <w:marLeft w:val="0"/>
      <w:marRight w:val="0"/>
      <w:marTop w:val="0"/>
      <w:marBottom w:val="0"/>
      <w:divBdr>
        <w:top w:val="none" w:sz="0" w:space="0" w:color="auto"/>
        <w:left w:val="none" w:sz="0" w:space="0" w:color="auto"/>
        <w:bottom w:val="none" w:sz="0" w:space="0" w:color="auto"/>
        <w:right w:val="none" w:sz="0" w:space="0" w:color="auto"/>
      </w:divBdr>
    </w:div>
    <w:div w:id="1503155447">
      <w:marLeft w:val="0"/>
      <w:marRight w:val="0"/>
      <w:marTop w:val="0"/>
      <w:marBottom w:val="0"/>
      <w:divBdr>
        <w:top w:val="none" w:sz="0" w:space="0" w:color="auto"/>
        <w:left w:val="none" w:sz="0" w:space="0" w:color="auto"/>
        <w:bottom w:val="none" w:sz="0" w:space="0" w:color="auto"/>
        <w:right w:val="none" w:sz="0" w:space="0" w:color="auto"/>
      </w:divBdr>
    </w:div>
    <w:div w:id="1503155448">
      <w:marLeft w:val="0"/>
      <w:marRight w:val="0"/>
      <w:marTop w:val="0"/>
      <w:marBottom w:val="0"/>
      <w:divBdr>
        <w:top w:val="none" w:sz="0" w:space="0" w:color="auto"/>
        <w:left w:val="none" w:sz="0" w:space="0" w:color="auto"/>
        <w:bottom w:val="none" w:sz="0" w:space="0" w:color="auto"/>
        <w:right w:val="none" w:sz="0" w:space="0" w:color="auto"/>
      </w:divBdr>
    </w:div>
    <w:div w:id="1503155449">
      <w:marLeft w:val="0"/>
      <w:marRight w:val="0"/>
      <w:marTop w:val="0"/>
      <w:marBottom w:val="0"/>
      <w:divBdr>
        <w:top w:val="none" w:sz="0" w:space="0" w:color="auto"/>
        <w:left w:val="none" w:sz="0" w:space="0" w:color="auto"/>
        <w:bottom w:val="none" w:sz="0" w:space="0" w:color="auto"/>
        <w:right w:val="none" w:sz="0" w:space="0" w:color="auto"/>
      </w:divBdr>
    </w:div>
    <w:div w:id="1503155450">
      <w:marLeft w:val="0"/>
      <w:marRight w:val="0"/>
      <w:marTop w:val="0"/>
      <w:marBottom w:val="0"/>
      <w:divBdr>
        <w:top w:val="none" w:sz="0" w:space="0" w:color="auto"/>
        <w:left w:val="none" w:sz="0" w:space="0" w:color="auto"/>
        <w:bottom w:val="none" w:sz="0" w:space="0" w:color="auto"/>
        <w:right w:val="none" w:sz="0" w:space="0" w:color="auto"/>
      </w:divBdr>
    </w:div>
    <w:div w:id="1503155451">
      <w:marLeft w:val="0"/>
      <w:marRight w:val="0"/>
      <w:marTop w:val="0"/>
      <w:marBottom w:val="0"/>
      <w:divBdr>
        <w:top w:val="none" w:sz="0" w:space="0" w:color="auto"/>
        <w:left w:val="none" w:sz="0" w:space="0" w:color="auto"/>
        <w:bottom w:val="none" w:sz="0" w:space="0" w:color="auto"/>
        <w:right w:val="none" w:sz="0" w:space="0" w:color="auto"/>
      </w:divBdr>
    </w:div>
    <w:div w:id="1503155452">
      <w:marLeft w:val="0"/>
      <w:marRight w:val="0"/>
      <w:marTop w:val="0"/>
      <w:marBottom w:val="0"/>
      <w:divBdr>
        <w:top w:val="none" w:sz="0" w:space="0" w:color="auto"/>
        <w:left w:val="none" w:sz="0" w:space="0" w:color="auto"/>
        <w:bottom w:val="none" w:sz="0" w:space="0" w:color="auto"/>
        <w:right w:val="none" w:sz="0" w:space="0" w:color="auto"/>
      </w:divBdr>
    </w:div>
    <w:div w:id="1503155453">
      <w:marLeft w:val="0"/>
      <w:marRight w:val="0"/>
      <w:marTop w:val="0"/>
      <w:marBottom w:val="0"/>
      <w:divBdr>
        <w:top w:val="none" w:sz="0" w:space="0" w:color="auto"/>
        <w:left w:val="none" w:sz="0" w:space="0" w:color="auto"/>
        <w:bottom w:val="none" w:sz="0" w:space="0" w:color="auto"/>
        <w:right w:val="none" w:sz="0" w:space="0" w:color="auto"/>
      </w:divBdr>
    </w:div>
    <w:div w:id="1503155454">
      <w:marLeft w:val="0"/>
      <w:marRight w:val="0"/>
      <w:marTop w:val="0"/>
      <w:marBottom w:val="0"/>
      <w:divBdr>
        <w:top w:val="none" w:sz="0" w:space="0" w:color="auto"/>
        <w:left w:val="none" w:sz="0" w:space="0" w:color="auto"/>
        <w:bottom w:val="none" w:sz="0" w:space="0" w:color="auto"/>
        <w:right w:val="none" w:sz="0" w:space="0" w:color="auto"/>
      </w:divBdr>
    </w:div>
    <w:div w:id="1503155455">
      <w:marLeft w:val="0"/>
      <w:marRight w:val="0"/>
      <w:marTop w:val="0"/>
      <w:marBottom w:val="0"/>
      <w:divBdr>
        <w:top w:val="none" w:sz="0" w:space="0" w:color="auto"/>
        <w:left w:val="none" w:sz="0" w:space="0" w:color="auto"/>
        <w:bottom w:val="none" w:sz="0" w:space="0" w:color="auto"/>
        <w:right w:val="none" w:sz="0" w:space="0" w:color="auto"/>
      </w:divBdr>
    </w:div>
    <w:div w:id="1503155456">
      <w:marLeft w:val="0"/>
      <w:marRight w:val="0"/>
      <w:marTop w:val="0"/>
      <w:marBottom w:val="0"/>
      <w:divBdr>
        <w:top w:val="none" w:sz="0" w:space="0" w:color="auto"/>
        <w:left w:val="none" w:sz="0" w:space="0" w:color="auto"/>
        <w:bottom w:val="none" w:sz="0" w:space="0" w:color="auto"/>
        <w:right w:val="none" w:sz="0" w:space="0" w:color="auto"/>
      </w:divBdr>
    </w:div>
    <w:div w:id="1503155457">
      <w:marLeft w:val="0"/>
      <w:marRight w:val="0"/>
      <w:marTop w:val="0"/>
      <w:marBottom w:val="0"/>
      <w:divBdr>
        <w:top w:val="none" w:sz="0" w:space="0" w:color="auto"/>
        <w:left w:val="none" w:sz="0" w:space="0" w:color="auto"/>
        <w:bottom w:val="none" w:sz="0" w:space="0" w:color="auto"/>
        <w:right w:val="none" w:sz="0" w:space="0" w:color="auto"/>
      </w:divBdr>
    </w:div>
    <w:div w:id="1503155458">
      <w:marLeft w:val="0"/>
      <w:marRight w:val="0"/>
      <w:marTop w:val="0"/>
      <w:marBottom w:val="0"/>
      <w:divBdr>
        <w:top w:val="none" w:sz="0" w:space="0" w:color="auto"/>
        <w:left w:val="none" w:sz="0" w:space="0" w:color="auto"/>
        <w:bottom w:val="none" w:sz="0" w:space="0" w:color="auto"/>
        <w:right w:val="none" w:sz="0" w:space="0" w:color="auto"/>
      </w:divBdr>
    </w:div>
    <w:div w:id="1503155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room request</vt:lpstr>
    </vt:vector>
  </TitlesOfParts>
  <Company>Hewlett-Packard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 request</dc:title>
  <dc:creator>Gareth Compton</dc:creator>
  <cp:lastModifiedBy>Damien Abbott</cp:lastModifiedBy>
  <cp:revision>2</cp:revision>
  <cp:lastPrinted>2014-04-17T13:57:00Z</cp:lastPrinted>
  <dcterms:created xsi:type="dcterms:W3CDTF">2018-03-29T13:25:00Z</dcterms:created>
  <dcterms:modified xsi:type="dcterms:W3CDTF">2018-03-29T13:25:00Z</dcterms:modified>
</cp:coreProperties>
</file>